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BC0C5" w14:textId="77777777" w:rsidR="00F767AF" w:rsidRPr="00F767AF" w:rsidRDefault="00DB45C3" w:rsidP="00F767AF">
      <w:pPr>
        <w:pStyle w:val="Title"/>
        <w:jc w:val="center"/>
        <w:rPr>
          <w:rFonts w:ascii="Times New Roman" w:eastAsiaTheme="minorHAnsi" w:hAnsi="Times New Roman" w:cs="Times New Roman"/>
          <w:b/>
          <w:color w:val="000000"/>
          <w:spacing w:val="0"/>
          <w:kern w:val="0"/>
          <w:sz w:val="20"/>
          <w:szCs w:val="20"/>
        </w:rPr>
      </w:pPr>
      <w:r>
        <w:rPr>
          <w:rFonts w:ascii="Times New Roman" w:eastAsiaTheme="minorHAnsi" w:hAnsi="Times New Roman" w:cs="Times New Roman"/>
          <w:b/>
          <w:color w:val="000000"/>
          <w:spacing w:val="0"/>
          <w:kern w:val="0"/>
          <w:sz w:val="20"/>
          <w:szCs w:val="20"/>
        </w:rPr>
        <w:t>Towards More Resilient Performance of Emergency Department</w:t>
      </w:r>
    </w:p>
    <w:p w14:paraId="53FF1750" w14:textId="77777777" w:rsidR="0032634D" w:rsidRPr="00E95595" w:rsidRDefault="0032634D" w:rsidP="0032634D">
      <w:pPr>
        <w:rPr>
          <w:rFonts w:ascii="Times New Roman" w:hAnsi="Times New Roman" w:cs="Times New Roman"/>
          <w:sz w:val="20"/>
          <w:szCs w:val="20"/>
        </w:rPr>
      </w:pPr>
    </w:p>
    <w:p w14:paraId="7C2E386B" w14:textId="77777777" w:rsidR="00C23E9A" w:rsidRPr="00C23E9A" w:rsidRDefault="00DB45C3" w:rsidP="00C23E9A">
      <w:pPr>
        <w:jc w:val="center"/>
        <w:rPr>
          <w:rFonts w:ascii="Times New Roman" w:hAnsi="Times New Roman" w:cs="Times New Roman"/>
          <w:sz w:val="20"/>
          <w:szCs w:val="20"/>
        </w:rPr>
      </w:pPr>
      <w:r>
        <w:rPr>
          <w:rFonts w:ascii="Times New Roman" w:hAnsi="Times New Roman" w:cs="Times New Roman"/>
          <w:sz w:val="20"/>
          <w:szCs w:val="20"/>
        </w:rPr>
        <w:t>Changwon Son, Miha Bernat</w:t>
      </w:r>
      <w:r w:rsidR="00C23E9A">
        <w:rPr>
          <w:rFonts w:ascii="Times New Roman" w:hAnsi="Times New Roman" w:cs="Times New Roman"/>
          <w:sz w:val="20"/>
          <w:szCs w:val="20"/>
        </w:rPr>
        <w:t>,</w:t>
      </w:r>
      <w:r w:rsidR="00C23E9A" w:rsidRPr="00C23E9A">
        <w:rPr>
          <w:rFonts w:ascii="Times New Roman" w:hAnsi="Times New Roman" w:cs="Times New Roman"/>
          <w:sz w:val="20"/>
          <w:szCs w:val="20"/>
        </w:rPr>
        <w:t xml:space="preserve"> Farzan Sasangohar</w:t>
      </w:r>
    </w:p>
    <w:p w14:paraId="14375157" w14:textId="77777777" w:rsidR="0032634D" w:rsidRPr="00E95595" w:rsidRDefault="0032634D" w:rsidP="00D9110B">
      <w:pPr>
        <w:jc w:val="center"/>
        <w:rPr>
          <w:rFonts w:ascii="Times New Roman" w:hAnsi="Times New Roman" w:cs="Times New Roman"/>
          <w:sz w:val="20"/>
          <w:szCs w:val="20"/>
        </w:rPr>
      </w:pPr>
      <w:r w:rsidRPr="00E95595">
        <w:rPr>
          <w:rFonts w:ascii="Times New Roman" w:hAnsi="Times New Roman" w:cs="Times New Roman"/>
          <w:sz w:val="20"/>
          <w:szCs w:val="20"/>
        </w:rPr>
        <w:t>Texas A&amp;M University</w:t>
      </w:r>
      <w:r w:rsidR="00D9110B">
        <w:rPr>
          <w:rFonts w:ascii="Times New Roman" w:hAnsi="Times New Roman" w:cs="Times New Roman"/>
          <w:sz w:val="20"/>
          <w:szCs w:val="20"/>
        </w:rPr>
        <w:t xml:space="preserve">, </w:t>
      </w:r>
      <w:r w:rsidRPr="00E95595">
        <w:rPr>
          <w:rFonts w:ascii="Times New Roman" w:hAnsi="Times New Roman" w:cs="Times New Roman"/>
          <w:sz w:val="20"/>
          <w:szCs w:val="20"/>
        </w:rPr>
        <w:t>College Station, Texas, USA</w:t>
      </w:r>
    </w:p>
    <w:p w14:paraId="293842CF" w14:textId="77777777" w:rsidR="004D6023" w:rsidRDefault="00D661F2" w:rsidP="008419AE">
      <w:pPr>
        <w:pStyle w:val="Title"/>
        <w:rPr>
          <w:rFonts w:ascii="Times New Roman" w:hAnsi="Times New Roman" w:cs="Times New Roman"/>
          <w:sz w:val="20"/>
          <w:szCs w:val="20"/>
        </w:rPr>
      </w:pPr>
      <w:r w:rsidRPr="00E95595" w:rsidDel="00D661F2">
        <w:rPr>
          <w:rFonts w:ascii="Times New Roman" w:hAnsi="Times New Roman" w:cs="Times New Roman"/>
          <w:sz w:val="20"/>
          <w:szCs w:val="20"/>
        </w:rPr>
        <w:t xml:space="preserve"> </w:t>
      </w:r>
    </w:p>
    <w:p w14:paraId="6E67CE9F" w14:textId="77777777" w:rsidR="00DB45C3" w:rsidRDefault="00EB1F01" w:rsidP="00FF046E">
      <w:pPr>
        <w:jc w:val="both"/>
        <w:rPr>
          <w:rFonts w:asciiTheme="minorEastAsia" w:hAnsiTheme="minorEastAsia" w:cstheme="minorEastAsia"/>
        </w:rPr>
      </w:pPr>
      <w:r>
        <w:rPr>
          <w:rFonts w:asciiTheme="minorEastAsia" w:hAnsiTheme="minorEastAsia" w:cstheme="minorEastAsia"/>
        </w:rPr>
        <w:tab/>
      </w:r>
      <w:r w:rsidR="00DB45C3" w:rsidRPr="00DB45C3">
        <w:rPr>
          <w:rFonts w:asciiTheme="minorEastAsia" w:hAnsiTheme="minorEastAsia" w:cstheme="minorEastAsia" w:hint="eastAsia"/>
        </w:rPr>
        <w:t xml:space="preserve">The vulnerability of Emergency Departments (EDs) in the U.S. becomes a major threat to various stakeholders including the public, healthcare service providers and policy makers </w:t>
      </w:r>
      <w:r w:rsidR="00DB45C3" w:rsidRPr="00DB45C3">
        <w:rPr>
          <w:rFonts w:asciiTheme="minorEastAsia" w:hAnsiTheme="minorEastAsia" w:cstheme="minorEastAsia" w:hint="eastAsia"/>
        </w:rPr>
        <w:fldChar w:fldCharType="begin"/>
      </w:r>
      <w:r w:rsidR="00DB45C3" w:rsidRPr="00DB45C3">
        <w:rPr>
          <w:rFonts w:asciiTheme="minorEastAsia" w:hAnsiTheme="minorEastAsia" w:cstheme="minorEastAsia" w:hint="eastAsia"/>
        </w:rPr>
        <w:instrText xml:space="preserve"> ADDIN EN.CITE &lt;EndNote&gt;&lt;Cite&gt;&lt;Author&gt;Institute of Medicine Committee&lt;/Author&gt;&lt;Year&gt;2006&lt;/Year&gt;&lt;RecNum&gt;838&lt;/RecNum&gt;&lt;DisplayText&gt;(Institute of Medicine Committee, 2006)&lt;/DisplayText&gt;&lt;record&gt;&lt;rec-number&gt;838&lt;/rec-number&gt;&lt;foreign-keys&gt;&lt;key app="EN" db-id="xa2e5zfwbdz9rmed09qxspr9drvdftwxdxz5" timestamp="1491248959"&gt;838&lt;/key&gt;&lt;/foreign-keys&gt;&lt;ref-type name="Generic"&gt;13&lt;/ref-type&gt;&lt;contributors&gt;&lt;authors&gt;&lt;author&gt;Institute of Medicine Committee,&lt;/author&gt;&lt;/authors&gt;&lt;/contributors&gt;&lt;titles&gt;&lt;title&gt;Hospital-based emergency care: at the breaking point&lt;/title&gt;&lt;/titles&gt;&lt;dates&gt;&lt;year&gt;2006&lt;/year&gt;&lt;/dates&gt;&lt;pub-location&gt;Washington D.C.&lt;/pub-location&gt;&lt;publisher&gt;National Academies Press&lt;/publisher&gt;&lt;urls&gt;&lt;/urls&gt;&lt;/record&gt;&lt;/Cite&gt;&lt;/EndNote&gt;</w:instrText>
      </w:r>
      <w:r w:rsidR="00DB45C3" w:rsidRPr="00DB45C3">
        <w:rPr>
          <w:rFonts w:asciiTheme="minorEastAsia" w:hAnsiTheme="minorEastAsia" w:cstheme="minorEastAsia" w:hint="eastAsia"/>
        </w:rPr>
        <w:fldChar w:fldCharType="separate"/>
      </w:r>
      <w:r w:rsidR="00DB45C3" w:rsidRPr="00DB45C3">
        <w:rPr>
          <w:rFonts w:asciiTheme="minorEastAsia" w:hAnsiTheme="minorEastAsia" w:cstheme="minorEastAsia" w:hint="eastAsia"/>
          <w:noProof/>
        </w:rPr>
        <w:t>(Institute of Medicine Committee, 2006)</w:t>
      </w:r>
      <w:r w:rsidR="00DB45C3" w:rsidRPr="00DB45C3">
        <w:rPr>
          <w:rFonts w:asciiTheme="minorEastAsia" w:hAnsiTheme="minorEastAsia" w:cstheme="minorEastAsia" w:hint="eastAsia"/>
        </w:rPr>
        <w:fldChar w:fldCharType="end"/>
      </w:r>
      <w:r w:rsidR="00DB45C3">
        <w:rPr>
          <w:rFonts w:asciiTheme="minorEastAsia" w:hAnsiTheme="minorEastAsia" w:cstheme="minorEastAsia"/>
        </w:rPr>
        <w:t>. EDs are constantly encountered with econo</w:t>
      </w:r>
      <w:r w:rsidR="00AA5AF9">
        <w:rPr>
          <w:rFonts w:asciiTheme="minorEastAsia" w:hAnsiTheme="minorEastAsia" w:cstheme="minorEastAsia"/>
        </w:rPr>
        <w:t xml:space="preserve">mic pressure and fluctuating, excess demands. This crisis is aggravated by the </w:t>
      </w:r>
      <w:r w:rsidR="00982638">
        <w:rPr>
          <w:rFonts w:asciiTheme="minorEastAsia" w:hAnsiTheme="minorEastAsia" w:cstheme="minorEastAsia"/>
        </w:rPr>
        <w:t>f</w:t>
      </w:r>
      <w:r w:rsidR="00AA5AF9">
        <w:rPr>
          <w:rFonts w:asciiTheme="minorEastAsia" w:hAnsiTheme="minorEastAsia" w:cstheme="minorEastAsia"/>
        </w:rPr>
        <w:t xml:space="preserve">ederal mandate. For example, the Emergency Medical Treatment and Labor Act in 1986 gives rise to uncompensated care, which then shoves healthcare providers on the </w:t>
      </w:r>
      <w:r w:rsidR="00954590">
        <w:rPr>
          <w:rFonts w:asciiTheme="minorEastAsia" w:hAnsiTheme="minorEastAsia" w:cstheme="minorEastAsia"/>
        </w:rPr>
        <w:t>verge of shutdowns</w:t>
      </w:r>
      <w:r w:rsidR="00982638">
        <w:rPr>
          <w:rFonts w:asciiTheme="minorEastAsia" w:hAnsiTheme="minorEastAsia" w:cstheme="minorEastAsia"/>
        </w:rPr>
        <w:t xml:space="preserve"> and patients overcrowding</w:t>
      </w:r>
      <w:r w:rsidR="00954590">
        <w:rPr>
          <w:rFonts w:asciiTheme="minorEastAsia" w:hAnsiTheme="minorEastAsia" w:cstheme="minorEastAsia"/>
        </w:rPr>
        <w:t>.</w:t>
      </w:r>
      <w:r w:rsidR="00AA5AF9">
        <w:rPr>
          <w:rFonts w:asciiTheme="minorEastAsia" w:hAnsiTheme="minorEastAsia" w:cstheme="minorEastAsia"/>
        </w:rPr>
        <w:t xml:space="preserve"> </w:t>
      </w:r>
      <w:r w:rsidR="00954590">
        <w:rPr>
          <w:rFonts w:asciiTheme="minorEastAsia" w:hAnsiTheme="minorEastAsia" w:cstheme="minorEastAsia"/>
        </w:rPr>
        <w:t>In addition,</w:t>
      </w:r>
      <w:r w:rsidR="00FF046E">
        <w:rPr>
          <w:rFonts w:asciiTheme="minorEastAsia" w:hAnsiTheme="minorEastAsia" w:cstheme="minorEastAsia"/>
        </w:rPr>
        <w:t xml:space="preserve"> EDs’</w:t>
      </w:r>
      <w:r w:rsidR="00954590">
        <w:rPr>
          <w:rFonts w:asciiTheme="minorEastAsia" w:hAnsiTheme="minorEastAsia" w:cstheme="minorEastAsia"/>
        </w:rPr>
        <w:t xml:space="preserve"> t</w:t>
      </w:r>
      <w:r w:rsidR="00AA5AF9">
        <w:rPr>
          <w:rFonts w:asciiTheme="minorEastAsia" w:hAnsiTheme="minorEastAsia" w:cstheme="minorEastAsia"/>
        </w:rPr>
        <w:t>axing work environment</w:t>
      </w:r>
      <w:r w:rsidR="00FF046E">
        <w:rPr>
          <w:rFonts w:asciiTheme="minorEastAsia" w:hAnsiTheme="minorEastAsia" w:cstheme="minorEastAsia"/>
        </w:rPr>
        <w:t xml:space="preserve"> </w:t>
      </w:r>
      <w:r w:rsidR="00954590">
        <w:rPr>
          <w:rFonts w:asciiTheme="minorEastAsia" w:hAnsiTheme="minorEastAsia" w:cstheme="minorEastAsia"/>
        </w:rPr>
        <w:t xml:space="preserve">makes it difficult to resolve the chronic shortage of physicians and nurses </w:t>
      </w:r>
      <w:r w:rsidR="00954590">
        <w:rPr>
          <w:rFonts w:asciiTheme="minorEastAsia" w:hAnsiTheme="minorEastAsia" w:cstheme="minorEastAsia"/>
        </w:rPr>
        <w:fldChar w:fldCharType="begin"/>
      </w:r>
      <w:r w:rsidR="00954590">
        <w:rPr>
          <w:rFonts w:asciiTheme="minorEastAsia" w:hAnsiTheme="minorEastAsia" w:cstheme="minorEastAsia"/>
        </w:rPr>
        <w:instrText xml:space="preserve"> ADDIN EN.CITE &lt;EndNote&gt;&lt;Cite&gt;&lt;Author&gt;Kellermann&lt;/Author&gt;&lt;Year&gt;2006&lt;/Year&gt;&lt;RecNum&gt;556&lt;/RecNum&gt;&lt;DisplayText&gt;(Kellermann, 2006)&lt;/DisplayText&gt;&lt;record&gt;&lt;rec-number&gt;556&lt;/rec-number&gt;&lt;foreign-keys&gt;&lt;key app="EN" db-id="xa2e5zfwbdz9rmed09qxspr9drvdftwxdxz5" timestamp="1485658967"&gt;556&lt;/key&gt;&lt;/foreign-keys&gt;&lt;ref-type name="Journal Article"&gt;17&lt;/ref-type&gt;&lt;contributors&gt;&lt;authors&gt;&lt;author&gt;Kellermann, Arthur L&lt;/author&gt;&lt;/authors&gt;&lt;/contributors&gt;&lt;titles&gt;&lt;title&gt;Crisis in the emergency department&lt;/title&gt;&lt;secondary-title&gt;New England Journal of Medicine&lt;/secondary-title&gt;&lt;/titles&gt;&lt;periodical&gt;&lt;full-title&gt;New England Journal of Medicine&lt;/full-title&gt;&lt;/periodical&gt;&lt;pages&gt;1300-1303&lt;/pages&gt;&lt;volume&gt;355&lt;/volume&gt;&lt;number&gt;13&lt;/number&gt;&lt;dates&gt;&lt;year&gt;2006&lt;/year&gt;&lt;/dates&gt;&lt;isbn&gt;0028-4793&lt;/isbn&gt;&lt;urls&gt;&lt;/urls&gt;&lt;/record&gt;&lt;/Cite&gt;&lt;/EndNote&gt;</w:instrText>
      </w:r>
      <w:r w:rsidR="00954590">
        <w:rPr>
          <w:rFonts w:asciiTheme="minorEastAsia" w:hAnsiTheme="minorEastAsia" w:cstheme="minorEastAsia"/>
        </w:rPr>
        <w:fldChar w:fldCharType="separate"/>
      </w:r>
      <w:r w:rsidR="00954590">
        <w:rPr>
          <w:rFonts w:asciiTheme="minorEastAsia" w:hAnsiTheme="minorEastAsia" w:cstheme="minorEastAsia"/>
          <w:noProof/>
        </w:rPr>
        <w:t>(Kellermann, 2006)</w:t>
      </w:r>
      <w:r w:rsidR="00954590">
        <w:rPr>
          <w:rFonts w:asciiTheme="minorEastAsia" w:hAnsiTheme="minorEastAsia" w:cstheme="minorEastAsia"/>
        </w:rPr>
        <w:fldChar w:fldCharType="end"/>
      </w:r>
      <w:r w:rsidR="00954590">
        <w:rPr>
          <w:rFonts w:asciiTheme="minorEastAsia" w:hAnsiTheme="minorEastAsia" w:cstheme="minorEastAsia"/>
        </w:rPr>
        <w:t>.</w:t>
      </w:r>
      <w:r w:rsidR="00DC1350">
        <w:rPr>
          <w:rFonts w:asciiTheme="minorEastAsia" w:hAnsiTheme="minorEastAsia" w:cstheme="minorEastAsia"/>
        </w:rPr>
        <w:t xml:space="preserve"> In order to cope with worsening problems in EDs, this work suggests resilience engineering as an effective approach by examining its concept, visual representations and coping strategies.</w:t>
      </w:r>
      <w:r w:rsidR="00450C02">
        <w:rPr>
          <w:rFonts w:asciiTheme="minorEastAsia" w:hAnsiTheme="minorEastAsia" w:cstheme="minorEastAsia"/>
        </w:rPr>
        <w:t xml:space="preserve"> Resilience is defined as a system’s capability to flexibly maintain, and quickly recover from perturbations to its normal operating conditions with minimum losses </w:t>
      </w:r>
      <w:r w:rsidR="00450C02">
        <w:rPr>
          <w:rFonts w:asciiTheme="minorEastAsia" w:hAnsiTheme="minorEastAsia" w:cstheme="minorEastAsia"/>
        </w:rPr>
        <w:fldChar w:fldCharType="begin"/>
      </w:r>
      <w:r w:rsidR="00450C02">
        <w:rPr>
          <w:rFonts w:asciiTheme="minorEastAsia" w:hAnsiTheme="minorEastAsia" w:cstheme="minorEastAsia"/>
        </w:rPr>
        <w:instrText xml:space="preserve"> ADDIN EN.CITE &lt;EndNote&gt;&lt;Cite&gt;&lt;Author&gt;Cook&lt;/Author&gt;&lt;Year&gt;2006&lt;/Year&gt;&lt;RecNum&gt;541&lt;/RecNum&gt;&lt;DisplayText&gt;(Cook &amp;amp; Nemeth, 2006)&lt;/DisplayText&gt;&lt;record&gt;&lt;rec-number&gt;541&lt;/rec-number&gt;&lt;foreign-keys&gt;&lt;key app="EN" db-id="xa2e5zfwbdz9rmed09qxspr9drvdftwxdxz5" timestamp="1484277584"&gt;541&lt;/key&gt;&lt;/foreign-keys&gt;&lt;ref-type name="Journal Article"&gt;17&lt;/ref-type&gt;&lt;contributors&gt;&lt;authors&gt;&lt;author&gt;Cook, Richard I.&lt;/author&gt;&lt;author&gt;Nemeth, Christopher&lt;/author&gt;&lt;/authors&gt;&lt;/contributors&gt;&lt;titles&gt;&lt;title&gt;Taking things in one’s stride: Cognitive features of two resilient performances&lt;/title&gt;&lt;secondary-title&gt;Resilience engineering: Concepts and precepts. Aldershot, UK: Ashgate Publishing&lt;/secondary-title&gt;&lt;/titles&gt;&lt;periodical&gt;&lt;full-title&gt;Resilience engineering: Concepts and precepts. Aldershot, UK: Ashgate Publishing&lt;/full-title&gt;&lt;/periodical&gt;&lt;pages&gt;205-220&lt;/pages&gt;&lt;dates&gt;&lt;year&gt;2006&lt;/year&gt;&lt;/dates&gt;&lt;urls&gt;&lt;/urls&gt;&lt;/record&gt;&lt;/Cite&gt;&lt;/EndNote&gt;</w:instrText>
      </w:r>
      <w:r w:rsidR="00450C02">
        <w:rPr>
          <w:rFonts w:asciiTheme="minorEastAsia" w:hAnsiTheme="minorEastAsia" w:cstheme="minorEastAsia"/>
        </w:rPr>
        <w:fldChar w:fldCharType="separate"/>
      </w:r>
      <w:r w:rsidR="00450C02">
        <w:rPr>
          <w:rFonts w:asciiTheme="minorEastAsia" w:hAnsiTheme="minorEastAsia" w:cstheme="minorEastAsia"/>
          <w:noProof/>
        </w:rPr>
        <w:t>(Cook &amp; Nemeth, 2006)</w:t>
      </w:r>
      <w:r w:rsidR="00450C02">
        <w:rPr>
          <w:rFonts w:asciiTheme="minorEastAsia" w:hAnsiTheme="minorEastAsia" w:cstheme="minorEastAsia"/>
        </w:rPr>
        <w:fldChar w:fldCharType="end"/>
      </w:r>
      <w:r w:rsidR="00FF046E">
        <w:rPr>
          <w:rFonts w:asciiTheme="minorEastAsia" w:hAnsiTheme="minorEastAsia" w:cstheme="minorEastAsia"/>
        </w:rPr>
        <w:t xml:space="preserve">. In contrast with linear cause-effect views or Safety-I approach that emphasize finding and fixing things that go wrong such as human errors, resilience engineering (RE) places due weight on things that go right, the basis of Safety-II approach </w:t>
      </w:r>
      <w:r w:rsidR="00FF046E">
        <w:rPr>
          <w:rFonts w:asciiTheme="minorEastAsia" w:hAnsiTheme="minorEastAsia" w:cstheme="minorEastAsia"/>
        </w:rPr>
        <w:fldChar w:fldCharType="begin"/>
      </w:r>
      <w:r w:rsidR="00FF046E">
        <w:rPr>
          <w:rFonts w:asciiTheme="minorEastAsia" w:hAnsiTheme="minorEastAsia" w:cstheme="minorEastAsia"/>
        </w:rPr>
        <w:instrText xml:space="preserve"> ADDIN EN.CITE &lt;EndNote&gt;&lt;Cite&gt;&lt;Author&gt;Hollnagel&lt;/Author&gt;&lt;Year&gt;2014&lt;/Year&gt;&lt;RecNum&gt;19&lt;/RecNum&gt;&lt;DisplayText&gt;(Hollnagel, 2014)&lt;/DisplayText&gt;&lt;record&gt;&lt;rec-number&gt;19&lt;/rec-number&gt;&lt;foreign-keys&gt;&lt;key app="EN" db-id="xa2e5zfwbdz9rmed09qxspr9drvdftwxdxz5" timestamp="0"&gt;19&lt;/key&gt;&lt;/foreign-keys&gt;&lt;ref-type name="Book"&gt;6&lt;/ref-type&gt;&lt;contributors&gt;&lt;authors&gt;&lt;author&gt;Hollnagel, Erik&lt;/author&gt;&lt;/authors&gt;&lt;/contributors&gt;&lt;titles&gt;&lt;title&gt;Safety-I and safety–II: the past and future of safety management&lt;/title&gt;&lt;/titles&gt;&lt;dates&gt;&lt;year&gt;2014&lt;/year&gt;&lt;/dates&gt;&lt;publisher&gt;Ashgate Publishing, Ltd.&lt;/publisher&gt;&lt;isbn&gt;1472423054&lt;/isbn&gt;&lt;urls&gt;&lt;/urls&gt;&lt;/record&gt;&lt;/Cite&gt;&lt;/EndNote&gt;</w:instrText>
      </w:r>
      <w:r w:rsidR="00FF046E">
        <w:rPr>
          <w:rFonts w:asciiTheme="minorEastAsia" w:hAnsiTheme="minorEastAsia" w:cstheme="minorEastAsia"/>
        </w:rPr>
        <w:fldChar w:fldCharType="separate"/>
      </w:r>
      <w:r w:rsidR="00FF046E">
        <w:rPr>
          <w:rFonts w:asciiTheme="minorEastAsia" w:hAnsiTheme="minorEastAsia" w:cstheme="minorEastAsia"/>
          <w:noProof/>
        </w:rPr>
        <w:t>(Hollnagel, 2014)</w:t>
      </w:r>
      <w:r w:rsidR="00FF046E">
        <w:rPr>
          <w:rFonts w:asciiTheme="minorEastAsia" w:hAnsiTheme="minorEastAsia" w:cstheme="minorEastAsia"/>
        </w:rPr>
        <w:fldChar w:fldCharType="end"/>
      </w:r>
      <w:r w:rsidR="00FF046E">
        <w:rPr>
          <w:rFonts w:asciiTheme="minorEastAsia" w:hAnsiTheme="minorEastAsia" w:cstheme="minorEastAsia"/>
        </w:rPr>
        <w:t xml:space="preserve">. </w:t>
      </w:r>
      <w:r w:rsidR="00982638">
        <w:rPr>
          <w:rFonts w:asciiTheme="minorEastAsia" w:hAnsiTheme="minorEastAsia" w:cstheme="minorEastAsia"/>
        </w:rPr>
        <w:t>T</w:t>
      </w:r>
      <w:r w:rsidR="00FF046E">
        <w:rPr>
          <w:rFonts w:asciiTheme="minorEastAsia" w:hAnsiTheme="minorEastAsia" w:cstheme="minorEastAsia"/>
        </w:rPr>
        <w:t xml:space="preserve">his alternative safety paradigm </w:t>
      </w:r>
      <w:r w:rsidR="00982638">
        <w:rPr>
          <w:rFonts w:asciiTheme="minorEastAsia" w:hAnsiTheme="minorEastAsia" w:cstheme="minorEastAsia"/>
        </w:rPr>
        <w:t xml:space="preserve">therefore </w:t>
      </w:r>
      <w:r w:rsidR="00FF046E">
        <w:rPr>
          <w:rFonts w:asciiTheme="minorEastAsia" w:hAnsiTheme="minorEastAsia" w:cstheme="minorEastAsia"/>
        </w:rPr>
        <w:t xml:space="preserve">focuses on ways to support </w:t>
      </w:r>
      <w:r w:rsidR="00982638">
        <w:rPr>
          <w:rFonts w:asciiTheme="minorEastAsia" w:hAnsiTheme="minorEastAsia" w:cstheme="minorEastAsia"/>
        </w:rPr>
        <w:t>human-machine systems to achieve success by helping cope with complexity under pressure.</w:t>
      </w:r>
    </w:p>
    <w:p w14:paraId="1F6E9849" w14:textId="77777777" w:rsidR="00843983" w:rsidRDefault="00EB1F01" w:rsidP="00FF046E">
      <w:pPr>
        <w:jc w:val="both"/>
        <w:rPr>
          <w:rFonts w:asciiTheme="minorEastAsia" w:hAnsiTheme="minorEastAsia" w:cstheme="minorEastAsia"/>
        </w:rPr>
      </w:pPr>
      <w:r>
        <w:rPr>
          <w:rFonts w:asciiTheme="minorEastAsia" w:hAnsiTheme="minorEastAsia" w:cstheme="minorEastAsia"/>
        </w:rPr>
        <w:tab/>
        <w:t xml:space="preserve">Four types of resilient responses in EDs are presented: matched, extended, sustained and transformed. </w:t>
      </w:r>
      <w:r w:rsidR="00843983">
        <w:rPr>
          <w:rFonts w:asciiTheme="minorEastAsia" w:hAnsiTheme="minorEastAsia" w:cstheme="minorEastAsia"/>
        </w:rPr>
        <w:t xml:space="preserve">When demands are below the system’s normal operating capacity, the responses ‘eat up’ existing resources. As it elevates to higher demands, different patterns of such responses begin to emerge. For instance, extended responses require to recruit additional, readily available resources. </w:t>
      </w:r>
      <w:r w:rsidR="00DB156D">
        <w:rPr>
          <w:rFonts w:asciiTheme="minorEastAsia" w:hAnsiTheme="minorEastAsia" w:cstheme="minorEastAsia"/>
        </w:rPr>
        <w:t xml:space="preserve">If these escalated demands persist, sustained responses may occur, so called ‘free-fall’ </w:t>
      </w:r>
      <w:r w:rsidR="00DB156D">
        <w:rPr>
          <w:rFonts w:asciiTheme="minorEastAsia" w:hAnsiTheme="minorEastAsia" w:cstheme="minorEastAsia"/>
        </w:rPr>
        <w:fldChar w:fldCharType="begin"/>
      </w:r>
      <w:r w:rsidR="00DB156D">
        <w:rPr>
          <w:rFonts w:asciiTheme="minorEastAsia" w:hAnsiTheme="minorEastAsia" w:cstheme="minorEastAsia"/>
        </w:rPr>
        <w:instrText xml:space="preserve"> ADDIN EN.CITE &lt;EndNote&gt;&lt;Cite&gt;&lt;Author&gt;Wears&lt;/Author&gt;&lt;Year&gt;2006&lt;/Year&gt;&lt;RecNum&gt;394&lt;/RecNum&gt;&lt;DisplayText&gt;(Wears &amp;amp; Perry, 2006)&lt;/DisplayText&gt;&lt;record&gt;&lt;rec-number&gt;394&lt;/rec-number&gt;&lt;foreign-keys&gt;&lt;key app="EN" db-id="xa2e5zfwbdz9rmed09qxspr9drvdftwxdxz5" timestamp="0"&gt;394&lt;/key&gt;&lt;/foreign-keys&gt;&lt;ref-type name="Journal Article"&gt;17&lt;/ref-type&gt;&lt;contributors&gt;&lt;authors&gt;&lt;author&gt;Wears, R. L.&lt;/author&gt;&lt;author&gt;Perry, S. J.&lt;/author&gt;&lt;/authors&gt;&lt;/contributors&gt;&lt;titles&gt;&lt;title&gt;Free fall - A case study of resilience, its degradation, and recovery, in an emergency department&lt;/title&gt;&lt;secondary-title&gt;Proceedings of the Second Resilience Engineering Symposium&lt;/secondary-title&gt;&lt;/titles&gt;&lt;pages&gt;325-332&lt;/pages&gt;&lt;dates&gt;&lt;year&gt;2006&lt;/year&gt;&lt;/dates&gt;&lt;urls&gt;&lt;/urls&gt;&lt;/record&gt;&lt;/Cite&gt;&lt;/EndNote&gt;</w:instrText>
      </w:r>
      <w:r w:rsidR="00DB156D">
        <w:rPr>
          <w:rFonts w:asciiTheme="minorEastAsia" w:hAnsiTheme="minorEastAsia" w:cstheme="minorEastAsia"/>
        </w:rPr>
        <w:fldChar w:fldCharType="separate"/>
      </w:r>
      <w:r w:rsidR="00DB156D">
        <w:rPr>
          <w:rFonts w:asciiTheme="minorEastAsia" w:hAnsiTheme="minorEastAsia" w:cstheme="minorEastAsia"/>
          <w:noProof/>
        </w:rPr>
        <w:t>(Wears &amp; Perry, 2006)</w:t>
      </w:r>
      <w:r w:rsidR="00DB156D">
        <w:rPr>
          <w:rFonts w:asciiTheme="minorEastAsia" w:hAnsiTheme="minorEastAsia" w:cstheme="minorEastAsia"/>
        </w:rPr>
        <w:fldChar w:fldCharType="end"/>
      </w:r>
      <w:r w:rsidR="00DB156D">
        <w:rPr>
          <w:rFonts w:asciiTheme="minorEastAsia" w:hAnsiTheme="minorEastAsia" w:cstheme="minorEastAsia"/>
        </w:rPr>
        <w:t>. In case of the mass casualty incident (MCI) such as suicide bomb attack, the system necessitates a radical, transformative change in its performance. Since resilience is a tacit, covert property of a system, representational models offer benefits of understanding how these response patterns are man</w:t>
      </w:r>
      <w:r w:rsidR="00FC3F60">
        <w:rPr>
          <w:rFonts w:asciiTheme="minorEastAsia" w:hAnsiTheme="minorEastAsia" w:cstheme="minorEastAsia"/>
        </w:rPr>
        <w:t xml:space="preserve">ifested. Overall, five representations are provided. State-Space </w:t>
      </w:r>
      <w:r w:rsidR="004B6F5F">
        <w:rPr>
          <w:rFonts w:asciiTheme="minorEastAsia" w:hAnsiTheme="minorEastAsia" w:cstheme="minorEastAsia"/>
        </w:rPr>
        <w:t>M</w:t>
      </w:r>
      <w:r w:rsidR="00FC3F60">
        <w:rPr>
          <w:rFonts w:asciiTheme="minorEastAsia" w:hAnsiTheme="minorEastAsia" w:cstheme="minorEastAsia"/>
        </w:rPr>
        <w:t>odel shows transitions among different states of sys</w:t>
      </w:r>
      <w:r w:rsidR="004B6F5F">
        <w:rPr>
          <w:rFonts w:asciiTheme="minorEastAsia" w:hAnsiTheme="minorEastAsia" w:cstheme="minorEastAsia"/>
        </w:rPr>
        <w:t>tem functioning. Stress-Strain C</w:t>
      </w:r>
      <w:r w:rsidR="00FC3F60">
        <w:rPr>
          <w:rFonts w:asciiTheme="minorEastAsia" w:hAnsiTheme="minorEastAsia" w:cstheme="minorEastAsia"/>
        </w:rPr>
        <w:t xml:space="preserve">urve exhibits both elastic and brittle behaviors of a system by employing </w:t>
      </w:r>
      <w:r w:rsidR="00B37291">
        <w:rPr>
          <w:rFonts w:asciiTheme="minorEastAsia" w:hAnsiTheme="minorEastAsia" w:cstheme="minorEastAsia"/>
        </w:rPr>
        <w:t xml:space="preserve">the law that governs material. </w:t>
      </w:r>
      <w:r w:rsidR="004B6F5F">
        <w:rPr>
          <w:rFonts w:asciiTheme="minorEastAsia" w:hAnsiTheme="minorEastAsia" w:cstheme="minorEastAsia"/>
        </w:rPr>
        <w:t xml:space="preserve">While preceding two models are limited in terms of temporal description, Discrete Temporal Model presents how resilience is manifested over the time horizon. On the other hand, Variety Space Diagram shows more </w:t>
      </w:r>
      <w:r w:rsidR="004B6F5F">
        <w:rPr>
          <w:rFonts w:asciiTheme="minorEastAsia" w:hAnsiTheme="minorEastAsia" w:cstheme="minorEastAsia"/>
        </w:rPr>
        <w:lastRenderedPageBreak/>
        <w:t>complex nature of a system’s resilient performance by modeling three system variables (Disturbance Variables, Sensemaking Variables and Control Variables) and two ends of a system (a sharp end and a blunt end).</w:t>
      </w:r>
      <w:r w:rsidR="00DF1397">
        <w:rPr>
          <w:rFonts w:asciiTheme="minorEastAsia" w:hAnsiTheme="minorEastAsia" w:cstheme="minorEastAsia"/>
        </w:rPr>
        <w:t xml:space="preserve"> Lastly, Stretched Dynamics Model is predicated on the Law of Stretched Systems </w:t>
      </w:r>
      <w:r w:rsidR="00DF1397">
        <w:rPr>
          <w:rFonts w:asciiTheme="minorEastAsia" w:hAnsiTheme="minorEastAsia" w:cstheme="minorEastAsia"/>
        </w:rPr>
        <w:fldChar w:fldCharType="begin"/>
      </w:r>
      <w:r w:rsidR="00DF1397">
        <w:rPr>
          <w:rFonts w:asciiTheme="minorEastAsia" w:hAnsiTheme="minorEastAsia" w:cstheme="minorEastAsia"/>
        </w:rPr>
        <w:instrText xml:space="preserve"> ADDIN EN.CITE &lt;EndNote&gt;&lt;Cite&gt;&lt;Author&gt;Hirschhorn&lt;/Author&gt;&lt;Year&gt;1997&lt;/Year&gt;&lt;RecNum&gt;584&lt;/RecNum&gt;&lt;DisplayText&gt;(Hirschhorn, 1997)&lt;/DisplayText&gt;&lt;record&gt;&lt;rec-number&gt;584&lt;/rec-number&gt;&lt;foreign-keys&gt;&lt;key app="EN" db-id="xa2e5zfwbdz9rmed09qxspr9drvdftwxdxz5" timestamp="1486172322"&gt;584&lt;/key&gt;&lt;/foreign-keys&gt;&lt;ref-type name="Book"&gt;6&lt;/ref-type&gt;&lt;contributors&gt;&lt;authors&gt;&lt;author&gt;Hirschhorn, L. &lt;/author&gt;&lt;/authors&gt;&lt;tertiary-authors&gt;&lt;author&gt;Cook, Richard I&lt;/author&gt;&lt;author&gt;Woods, David D&lt;/author&gt;&lt;author&gt;Miller, Charlotte&lt;/author&gt;&lt;/tertiary-authors&gt;&lt;/contributors&gt;&lt;titles&gt;&lt;title&gt;A tale of two stories: contrasting views of patient safety&lt;/title&gt;&lt;secondary-title&gt;A Tale of Two Stories:&amp;#xD;Contrasting Views on Patient Safety&lt;/secondary-title&gt;&lt;/titles&gt;&lt;dates&gt;&lt;year&gt;1997&lt;/year&gt;&lt;pub-dates&gt;&lt;date&gt;April, 1998&lt;/date&gt;&lt;/pub-dates&gt;&lt;/dates&gt;&lt;pub-location&gt;Chicago, IL&lt;/pub-location&gt;&lt;publisher&gt;National Patient Safety Foundation&lt;/publisher&gt;&lt;urls&gt;&lt;/urls&gt;&lt;/record&gt;&lt;/Cite&gt;&lt;/EndNote&gt;</w:instrText>
      </w:r>
      <w:r w:rsidR="00DF1397">
        <w:rPr>
          <w:rFonts w:asciiTheme="minorEastAsia" w:hAnsiTheme="minorEastAsia" w:cstheme="minorEastAsia"/>
        </w:rPr>
        <w:fldChar w:fldCharType="separate"/>
      </w:r>
      <w:r w:rsidR="00DF1397">
        <w:rPr>
          <w:rFonts w:asciiTheme="minorEastAsia" w:hAnsiTheme="minorEastAsia" w:cstheme="minorEastAsia"/>
          <w:noProof/>
        </w:rPr>
        <w:t>(Hirschhorn, 1997)</w:t>
      </w:r>
      <w:r w:rsidR="00DF1397">
        <w:rPr>
          <w:rFonts w:asciiTheme="minorEastAsia" w:hAnsiTheme="minorEastAsia" w:cstheme="minorEastAsia"/>
        </w:rPr>
        <w:fldChar w:fldCharType="end"/>
      </w:r>
      <w:r w:rsidR="00DF1397">
        <w:rPr>
          <w:rFonts w:asciiTheme="minorEastAsia" w:hAnsiTheme="minorEastAsia" w:cstheme="minorEastAsia"/>
        </w:rPr>
        <w:t xml:space="preserve">. It depicts how a system’s operations migrate towards unacceptable performance boundary </w:t>
      </w:r>
      <w:r w:rsidR="009F6F38">
        <w:rPr>
          <w:rFonts w:asciiTheme="minorEastAsia" w:hAnsiTheme="minorEastAsia" w:cstheme="minorEastAsia"/>
        </w:rPr>
        <w:t xml:space="preserve">due to </w:t>
      </w:r>
      <w:r w:rsidR="00DF1397">
        <w:rPr>
          <w:rFonts w:asciiTheme="minorEastAsia" w:hAnsiTheme="minorEastAsia" w:cstheme="minorEastAsia"/>
        </w:rPr>
        <w:t>pushes from management and workforce.</w:t>
      </w:r>
      <w:r w:rsidR="00AC45E1">
        <w:rPr>
          <w:rFonts w:asciiTheme="minorEastAsia" w:hAnsiTheme="minorEastAsia" w:cstheme="minorEastAsia"/>
        </w:rPr>
        <w:t xml:space="preserve"> Additionally, this model is able to illustrate different instances such as accidents, near-misses at multiple ends of the system.</w:t>
      </w:r>
    </w:p>
    <w:p w14:paraId="70D4D8FF" w14:textId="77777777" w:rsidR="00B30953" w:rsidRDefault="00206B7A" w:rsidP="00FF046E">
      <w:pPr>
        <w:jc w:val="both"/>
        <w:rPr>
          <w:rFonts w:asciiTheme="minorEastAsia" w:hAnsiTheme="minorEastAsia" w:cstheme="minorEastAsia"/>
        </w:rPr>
      </w:pPr>
      <w:r>
        <w:rPr>
          <w:rFonts w:asciiTheme="minorEastAsia" w:hAnsiTheme="minorEastAsia" w:cstheme="minorEastAsia"/>
        </w:rPr>
        <w:tab/>
      </w:r>
      <w:r w:rsidR="00B30953">
        <w:rPr>
          <w:rFonts w:asciiTheme="minorEastAsia" w:hAnsiTheme="minorEastAsia" w:cstheme="minorEastAsia"/>
        </w:rPr>
        <w:t xml:space="preserve">Finally, this work provides strategies to make EDs more resilient. This is summarized as 4 S’s: staff, supply, space and sequence. </w:t>
      </w:r>
      <w:r w:rsidR="009F0BA7">
        <w:rPr>
          <w:rFonts w:asciiTheme="minorEastAsia" w:hAnsiTheme="minorEastAsia" w:cstheme="minorEastAsia"/>
        </w:rPr>
        <w:t>To perform in more resilient ways, EDs recruit and utilize workforce strategically. They often defend their own resources by blocking the flow. In other cases, physicians and nurses are borrowed from other units, assigned to temporary roles and shared among similar units. Strategies for suppl</w:t>
      </w:r>
      <w:r w:rsidR="00DB3625">
        <w:rPr>
          <w:rFonts w:asciiTheme="minorEastAsia" w:hAnsiTheme="minorEastAsia" w:cstheme="minorEastAsia"/>
        </w:rPr>
        <w:t>y</w:t>
      </w:r>
      <w:r w:rsidR="009F0BA7">
        <w:rPr>
          <w:rFonts w:asciiTheme="minorEastAsia" w:hAnsiTheme="minorEastAsia" w:cstheme="minorEastAsia"/>
        </w:rPr>
        <w:t xml:space="preserve"> are </w:t>
      </w:r>
      <w:r w:rsidR="00DB3625">
        <w:rPr>
          <w:rFonts w:asciiTheme="minorEastAsia" w:hAnsiTheme="minorEastAsia" w:cstheme="minorEastAsia"/>
        </w:rPr>
        <w:t>basically associated with its quantity and usage. Stockpile, substitute, conserve, adapt, reuse and reallocate are presented as examples of tactics for supplies.</w:t>
      </w:r>
      <w:r w:rsidR="00836BDD">
        <w:rPr>
          <w:rFonts w:asciiTheme="minorEastAsia" w:hAnsiTheme="minorEastAsia" w:cstheme="minorEastAsia"/>
        </w:rPr>
        <w:t xml:space="preserve"> Spatial arrangement is another consideration that affects the resilience of EDs. In overall, intra-departmental tactics employed within ED and inter-departmental tactics that occur among </w:t>
      </w:r>
      <w:r>
        <w:rPr>
          <w:rFonts w:asciiTheme="minorEastAsia" w:hAnsiTheme="minorEastAsia" w:cstheme="minorEastAsia"/>
        </w:rPr>
        <w:t xml:space="preserve">functionally-adjacent </w:t>
      </w:r>
      <w:r w:rsidR="00836BDD">
        <w:rPr>
          <w:rFonts w:asciiTheme="minorEastAsia" w:hAnsiTheme="minorEastAsia" w:cstheme="minorEastAsia"/>
        </w:rPr>
        <w:t>care units are introduced.</w:t>
      </w:r>
      <w:r>
        <w:rPr>
          <w:rFonts w:asciiTheme="minorEastAsia" w:hAnsiTheme="minorEastAsia" w:cstheme="minorEastAsia"/>
        </w:rPr>
        <w:t xml:space="preserve"> With </w:t>
      </w:r>
      <w:r w:rsidR="004A208B">
        <w:rPr>
          <w:rFonts w:asciiTheme="minorEastAsia" w:hAnsiTheme="minorEastAsia" w:cstheme="minorEastAsia"/>
        </w:rPr>
        <w:t>similar staffing, supply and space given, resilient performance may change depending on how works are sequence and processed. Skipping, expediting, reordering and sacrificing are discussed to show different sequencing strategies.</w:t>
      </w:r>
    </w:p>
    <w:p w14:paraId="30959C7C" w14:textId="77777777" w:rsidR="00467E1E" w:rsidRDefault="00467E1E" w:rsidP="00FF046E">
      <w:pPr>
        <w:jc w:val="both"/>
        <w:rPr>
          <w:rFonts w:asciiTheme="minorEastAsia" w:hAnsiTheme="minorEastAsia" w:cstheme="minorEastAsia"/>
        </w:rPr>
      </w:pPr>
      <w:r>
        <w:rPr>
          <w:rFonts w:asciiTheme="minorEastAsia" w:hAnsiTheme="minorEastAsia" w:cstheme="minorEastAsia"/>
        </w:rPr>
        <w:tab/>
      </w:r>
      <w:r w:rsidR="004F518E">
        <w:rPr>
          <w:rFonts w:asciiTheme="minorEastAsia" w:hAnsiTheme="minorEastAsia" w:cstheme="minorEastAsia"/>
        </w:rPr>
        <w:t xml:space="preserve">The efforts for providing concept, representations and strategies for more resilient EDs are worth helping understanding why it is necessary. However, one crucial question is how to engineer resilience in complex systems like EDs. Some progress is now visible as seen in the development of healthcare ICT solutions </w:t>
      </w:r>
      <w:r w:rsidR="004F518E">
        <w:rPr>
          <w:rFonts w:asciiTheme="minorEastAsia" w:hAnsiTheme="minorEastAsia" w:cstheme="minorEastAsia"/>
        </w:rPr>
        <w:fldChar w:fldCharType="begin"/>
      </w:r>
      <w:r w:rsidR="004F518E">
        <w:rPr>
          <w:rFonts w:asciiTheme="minorEastAsia" w:hAnsiTheme="minorEastAsia" w:cstheme="minorEastAsia"/>
        </w:rPr>
        <w:instrText xml:space="preserve"> ADDIN EN.CITE &lt;EndNote&gt;&lt;Cite&gt;&lt;Author&gt;Nemeth&lt;/Author&gt;&lt;Year&gt;2011&lt;/Year&gt;&lt;RecNum&gt;294&lt;/RecNum&gt;&lt;DisplayText&gt;(Nemeth, Wears, Patel, Rosen, &amp;amp; Cook, 2011)&lt;/DisplayText&gt;&lt;record&gt;&lt;rec-number&gt;294&lt;/rec-number&gt;&lt;foreign-keys&gt;&lt;key app="EN" db-id="xa2e5zfwbdz9rmed09qxspr9drvdftwxdxz5" timestamp="0"&gt;294&lt;/key&gt;&lt;/foreign-keys&gt;&lt;ref-type name="Journal Article"&gt;17&lt;/ref-type&gt;&lt;contributors&gt;&lt;authors&gt;&lt;author&gt;Nemeth, Christopher&lt;/author&gt;&lt;author&gt;Wears, Robert L.&lt;/author&gt;&lt;author&gt;Patel, Sachin&lt;/author&gt;&lt;author&gt;Rosen, Greg&lt;/author&gt;&lt;author&gt;Cook, Richard&lt;/author&gt;&lt;/authors&gt;&lt;/contributors&gt;&lt;titles&gt;&lt;title&gt;Resilience is not control: healthcare, crisis management, and ICT&lt;/title&gt;&lt;secondary-title&gt;Cognition, Technology &amp;amp; Work&lt;/secondary-title&gt;&lt;/titles&gt;&lt;pages&gt;189-202&lt;/pages&gt;&lt;volume&gt;13&lt;/volume&gt;&lt;number&gt;3&lt;/number&gt;&lt;dates&gt;&lt;year&gt;2011&lt;/year&gt;&lt;/dates&gt;&lt;isbn&gt;1435-5558&amp;#xD;1435-5566&lt;/isbn&gt;&lt;urls&gt;&lt;/urls&gt;&lt;electronic-resource-num&gt;10.1007/s10111-011-0174-7&lt;/electronic-resource-num&gt;&lt;/record&gt;&lt;/Cite&gt;&lt;/EndNote&gt;</w:instrText>
      </w:r>
      <w:r w:rsidR="004F518E">
        <w:rPr>
          <w:rFonts w:asciiTheme="minorEastAsia" w:hAnsiTheme="minorEastAsia" w:cstheme="minorEastAsia"/>
        </w:rPr>
        <w:fldChar w:fldCharType="separate"/>
      </w:r>
      <w:r w:rsidR="004F518E">
        <w:rPr>
          <w:rFonts w:asciiTheme="minorEastAsia" w:hAnsiTheme="minorEastAsia" w:cstheme="minorEastAsia"/>
          <w:noProof/>
        </w:rPr>
        <w:t>(Nemeth, Wears, Patel, Rosen, &amp; Cook, 2011)</w:t>
      </w:r>
      <w:r w:rsidR="004F518E">
        <w:rPr>
          <w:rFonts w:asciiTheme="minorEastAsia" w:hAnsiTheme="minorEastAsia" w:cstheme="minorEastAsia"/>
        </w:rPr>
        <w:fldChar w:fldCharType="end"/>
      </w:r>
      <w:r w:rsidR="004F518E">
        <w:rPr>
          <w:rFonts w:asciiTheme="minorEastAsia" w:hAnsiTheme="minorEastAsia" w:cstheme="minorEastAsia"/>
        </w:rPr>
        <w:t xml:space="preserve"> and medical devices such as infusion pump </w:t>
      </w:r>
      <w:r w:rsidR="004F518E">
        <w:rPr>
          <w:rFonts w:asciiTheme="minorEastAsia" w:hAnsiTheme="minorEastAsia" w:cstheme="minorEastAsia"/>
        </w:rPr>
        <w:fldChar w:fldCharType="begin"/>
      </w:r>
      <w:r w:rsidR="004F518E">
        <w:rPr>
          <w:rFonts w:asciiTheme="minorEastAsia" w:hAnsiTheme="minorEastAsia" w:cstheme="minorEastAsia"/>
        </w:rPr>
        <w:instrText xml:space="preserve"> ADDIN EN.CITE &lt;EndNote&gt;&lt;Cite&gt;&lt;Author&gt;Nemeth&lt;/Author&gt;&lt;Year&gt;2008&lt;/Year&gt;&lt;RecNum&gt;473&lt;/RecNum&gt;&lt;DisplayText&gt;(Nemeth, Wears, Woods, Hollnagel, &amp;amp; Cook, 2008)&lt;/DisplayText&gt;&lt;record&gt;&lt;rec-number&gt;473&lt;/rec-number&gt;&lt;foreign-keys&gt;&lt;key app="EN" db-id="xa2e5zfwbdz9rmed09qxspr9drvdftwxdxz5" timestamp="0"&gt;473&lt;/key&gt;&lt;/foreign-keys&gt;&lt;ref-type name="Journal Article"&gt;17&lt;/ref-type&gt;&lt;contributors&gt;&lt;authors&gt;&lt;author&gt;Nemeth, Christopher&lt;/author&gt;&lt;author&gt;Wears, Robert&lt;/author&gt;&lt;author&gt;Woods, David&lt;/author&gt;&lt;author&gt;Hollnagel, Erik&lt;/author&gt;&lt;author&gt;Cook, Richard&lt;/author&gt;&lt;/authors&gt;&lt;/contributors&gt;&lt;titles&gt;&lt;title&gt;Minding the gaps: creating resilience in health care&lt;/title&gt;&lt;/titles&gt;&lt;dates&gt;&lt;year&gt;2008&lt;/year&gt;&lt;/dates&gt;&lt;urls&gt;&lt;/urls&gt;&lt;/record&gt;&lt;/Cite&gt;&lt;/EndNote&gt;</w:instrText>
      </w:r>
      <w:r w:rsidR="004F518E">
        <w:rPr>
          <w:rFonts w:asciiTheme="minorEastAsia" w:hAnsiTheme="minorEastAsia" w:cstheme="minorEastAsia"/>
        </w:rPr>
        <w:fldChar w:fldCharType="separate"/>
      </w:r>
      <w:r w:rsidR="004F518E">
        <w:rPr>
          <w:rFonts w:asciiTheme="minorEastAsia" w:hAnsiTheme="minorEastAsia" w:cstheme="minorEastAsia"/>
          <w:noProof/>
        </w:rPr>
        <w:t>(Nemeth, Wears, Woods, Hollnagel, &amp; Cook, 2008)</w:t>
      </w:r>
      <w:r w:rsidR="004F518E">
        <w:rPr>
          <w:rFonts w:asciiTheme="minorEastAsia" w:hAnsiTheme="minorEastAsia" w:cstheme="minorEastAsia"/>
        </w:rPr>
        <w:fldChar w:fldCharType="end"/>
      </w:r>
      <w:r w:rsidR="004F518E">
        <w:rPr>
          <w:rFonts w:asciiTheme="minorEastAsia" w:hAnsiTheme="minorEastAsia" w:cstheme="minorEastAsia"/>
        </w:rPr>
        <w:t xml:space="preserve">. Yet there must be more questions to be answered than those that have been answered. One example of those questions is a question for more quantitative measurement of resilience provided that the instances and models for conceptual framework of RE are abundant. </w:t>
      </w:r>
      <w:r w:rsidR="00EF417A" w:rsidRPr="00EF417A">
        <w:rPr>
          <w:rFonts w:asciiTheme="minorEastAsia" w:hAnsiTheme="minorEastAsia" w:cstheme="minorEastAsia"/>
        </w:rPr>
        <w:t xml:space="preserve">The progress towards designing more resilient ED systems is still in the nascent stage. The summary of patterns and representations of, and strategies for resilience presented in this </w:t>
      </w:r>
      <w:r w:rsidR="00930E25">
        <w:rPr>
          <w:rFonts w:asciiTheme="minorEastAsia" w:hAnsiTheme="minorEastAsia" w:cstheme="minorEastAsia"/>
        </w:rPr>
        <w:t>work</w:t>
      </w:r>
      <w:r w:rsidR="00EF417A" w:rsidRPr="00EF417A">
        <w:rPr>
          <w:rFonts w:asciiTheme="minorEastAsia" w:hAnsiTheme="minorEastAsia" w:cstheme="minorEastAsia"/>
        </w:rPr>
        <w:t xml:space="preserve"> can offer basic understanding for address</w:t>
      </w:r>
      <w:r w:rsidR="00930E25">
        <w:rPr>
          <w:rFonts w:asciiTheme="minorEastAsia" w:hAnsiTheme="minorEastAsia" w:cstheme="minorEastAsia"/>
        </w:rPr>
        <w:t>ing</w:t>
      </w:r>
      <w:r w:rsidR="00EF417A" w:rsidRPr="00EF417A">
        <w:rPr>
          <w:rFonts w:asciiTheme="minorEastAsia" w:hAnsiTheme="minorEastAsia" w:cstheme="minorEastAsia"/>
        </w:rPr>
        <w:t xml:space="preserve"> the chronic challenges experienced in EDs.</w:t>
      </w:r>
    </w:p>
    <w:p w14:paraId="76A0FF9C" w14:textId="77777777" w:rsidR="00DC1350" w:rsidRPr="00DB45C3" w:rsidRDefault="00DC1350" w:rsidP="00DB45C3">
      <w:pPr>
        <w:rPr>
          <w:rFonts w:asciiTheme="minorEastAsia" w:hAnsiTheme="minorEastAsia" w:cstheme="minorEastAsia"/>
        </w:rPr>
      </w:pPr>
    </w:p>
    <w:p w14:paraId="197AF737" w14:textId="77777777" w:rsidR="004F518E" w:rsidRPr="004F518E" w:rsidRDefault="00DB45C3" w:rsidP="004F518E">
      <w:pPr>
        <w:pStyle w:val="EndNoteBibliography"/>
        <w:ind w:left="720" w:hanging="720"/>
      </w:pPr>
      <w:r w:rsidRPr="00954590">
        <w:rPr>
          <w:rFonts w:asciiTheme="minorEastAsia" w:hAnsiTheme="minorEastAsia" w:cstheme="minorEastAsia" w:hint="eastAsia"/>
        </w:rPr>
        <w:fldChar w:fldCharType="begin"/>
      </w:r>
      <w:r w:rsidRPr="00954590">
        <w:rPr>
          <w:rFonts w:asciiTheme="minorEastAsia" w:hAnsiTheme="minorEastAsia" w:cstheme="minorEastAsia" w:hint="eastAsia"/>
        </w:rPr>
        <w:instrText xml:space="preserve"> ADDIN EN.REFLIST </w:instrText>
      </w:r>
      <w:r w:rsidRPr="00954590">
        <w:rPr>
          <w:rFonts w:asciiTheme="minorEastAsia" w:hAnsiTheme="minorEastAsia" w:cstheme="minorEastAsia" w:hint="eastAsia"/>
        </w:rPr>
        <w:fldChar w:fldCharType="separate"/>
      </w:r>
      <w:r w:rsidR="004F518E" w:rsidRPr="004F518E">
        <w:t xml:space="preserve">Cook, R. I., &amp; Nemeth, C. (2006). Taking things in one’s stride: Cognitive features of two resilient performances. </w:t>
      </w:r>
      <w:r w:rsidR="004F518E" w:rsidRPr="004F518E">
        <w:rPr>
          <w:i/>
        </w:rPr>
        <w:t>Resilience engineering: Concepts and precepts. Aldershot, UK: Ashgate Publishing</w:t>
      </w:r>
      <w:r w:rsidR="004F518E" w:rsidRPr="004F518E">
        <w:t xml:space="preserve">, 205-220. </w:t>
      </w:r>
    </w:p>
    <w:p w14:paraId="1D6AB00E" w14:textId="77777777" w:rsidR="004F518E" w:rsidRPr="004F518E" w:rsidRDefault="004F518E" w:rsidP="004F518E">
      <w:pPr>
        <w:pStyle w:val="EndNoteBibliography"/>
        <w:ind w:left="720" w:hanging="720"/>
      </w:pPr>
      <w:r w:rsidRPr="004F518E">
        <w:lastRenderedPageBreak/>
        <w:t xml:space="preserve">Hirschhorn, L. (1997). </w:t>
      </w:r>
      <w:r w:rsidRPr="004F518E">
        <w:rPr>
          <w:i/>
        </w:rPr>
        <w:t>A tale of two stories: contrasting views of patient safety</w:t>
      </w:r>
      <w:r w:rsidRPr="004F518E">
        <w:t xml:space="preserve"> (R. I. Cook, D. D. Woods, &amp; C. Miller Eds.). Chicago, IL: National Patient Safety Foundation.</w:t>
      </w:r>
    </w:p>
    <w:p w14:paraId="20F0CFF8" w14:textId="77777777" w:rsidR="004F518E" w:rsidRPr="004F518E" w:rsidRDefault="004F518E" w:rsidP="004F518E">
      <w:pPr>
        <w:pStyle w:val="EndNoteBibliography"/>
        <w:ind w:left="720" w:hanging="720"/>
      </w:pPr>
      <w:r w:rsidRPr="004F518E">
        <w:t xml:space="preserve">Hollnagel, E. (2014). </w:t>
      </w:r>
      <w:r w:rsidRPr="004F518E">
        <w:rPr>
          <w:i/>
        </w:rPr>
        <w:t>Safety-I and safety–II: the past and future of safety management</w:t>
      </w:r>
      <w:r w:rsidRPr="004F518E">
        <w:t>: Ashgate Publishing, Ltd.</w:t>
      </w:r>
    </w:p>
    <w:p w14:paraId="5167307D" w14:textId="77777777" w:rsidR="004F518E" w:rsidRPr="004F518E" w:rsidRDefault="004F518E" w:rsidP="004F518E">
      <w:pPr>
        <w:pStyle w:val="EndNoteBibliography"/>
        <w:ind w:left="720" w:hanging="720"/>
      </w:pPr>
      <w:r w:rsidRPr="004F518E">
        <w:t>Institute of Medicine Committee. (2006). Hospital-based emergency care: at the breaking point. Washington D.C.: National Academies Press.</w:t>
      </w:r>
    </w:p>
    <w:p w14:paraId="7EBC0B9D" w14:textId="77777777" w:rsidR="004F518E" w:rsidRPr="004F518E" w:rsidRDefault="004F518E" w:rsidP="004F518E">
      <w:pPr>
        <w:pStyle w:val="EndNoteBibliography"/>
        <w:ind w:left="720" w:hanging="720"/>
      </w:pPr>
      <w:r w:rsidRPr="004F518E">
        <w:t xml:space="preserve">Kellermann, A. L. (2006). Crisis in the emergency department. </w:t>
      </w:r>
      <w:r w:rsidRPr="004F518E">
        <w:rPr>
          <w:i/>
        </w:rPr>
        <w:t>New England Journal of Medicine, 355</w:t>
      </w:r>
      <w:r w:rsidRPr="004F518E">
        <w:t xml:space="preserve">(13), 1300-1303. </w:t>
      </w:r>
    </w:p>
    <w:p w14:paraId="0F168EEF" w14:textId="77777777" w:rsidR="004F518E" w:rsidRPr="004F518E" w:rsidRDefault="004F518E" w:rsidP="004F518E">
      <w:pPr>
        <w:pStyle w:val="EndNoteBibliography"/>
        <w:ind w:left="720" w:hanging="720"/>
      </w:pPr>
      <w:r w:rsidRPr="004F518E">
        <w:t xml:space="preserve">Nemeth, C., Wears, R., Woods, D., Hollnagel, E., &amp; Cook, R. (2008). Minding the gaps: creating resilience in health care. </w:t>
      </w:r>
    </w:p>
    <w:p w14:paraId="6F7614E7" w14:textId="77777777" w:rsidR="004F518E" w:rsidRPr="004F518E" w:rsidRDefault="004F518E" w:rsidP="004F518E">
      <w:pPr>
        <w:pStyle w:val="EndNoteBibliography"/>
        <w:ind w:left="720" w:hanging="720"/>
      </w:pPr>
      <w:r w:rsidRPr="004F518E">
        <w:t xml:space="preserve">Nemeth, C., Wears, R. L., Patel, S., Rosen, G., &amp; Cook, R. (2011). Resilience is not control: healthcare, crisis management, and ICT. </w:t>
      </w:r>
      <w:r w:rsidRPr="004F518E">
        <w:rPr>
          <w:i/>
        </w:rPr>
        <w:t>Cognition, Technology &amp; Work, 13</w:t>
      </w:r>
      <w:r w:rsidRPr="004F518E">
        <w:t>(3), 189-202. doi:10.1007/s10111-011-0174-7</w:t>
      </w:r>
    </w:p>
    <w:p w14:paraId="200CD6F5" w14:textId="77777777" w:rsidR="004F518E" w:rsidRPr="004F518E" w:rsidRDefault="004F518E" w:rsidP="004F518E">
      <w:pPr>
        <w:pStyle w:val="EndNoteBibliography"/>
        <w:ind w:left="720" w:hanging="720"/>
      </w:pPr>
      <w:r w:rsidRPr="004F518E">
        <w:t xml:space="preserve">Wears, R. L., &amp; Perry, S. J. (2006). Free fall - A case study of resilience, its degradation, and recovery, in an emergency department. </w:t>
      </w:r>
      <w:r w:rsidRPr="004F518E">
        <w:rPr>
          <w:i/>
        </w:rPr>
        <w:t>Proceedings of the Second Resilience Engineering Symposium</w:t>
      </w:r>
      <w:r w:rsidRPr="004F518E">
        <w:t xml:space="preserve">, 325-332. </w:t>
      </w:r>
    </w:p>
    <w:p w14:paraId="279F445B" w14:textId="77777777" w:rsidR="00450C02" w:rsidRPr="00450C02" w:rsidRDefault="00DB45C3" w:rsidP="00450C02">
      <w:pPr>
        <w:pStyle w:val="EndNoteBibliography"/>
        <w:ind w:left="720" w:hanging="720"/>
      </w:pPr>
      <w:r w:rsidRPr="00954590">
        <w:rPr>
          <w:rFonts w:asciiTheme="minorEastAsia" w:hAnsiTheme="minorEastAsia" w:cstheme="minorEastAsia" w:hint="eastAsia"/>
        </w:rPr>
        <w:fldChar w:fldCharType="end"/>
      </w:r>
      <w:r w:rsidR="00450C02" w:rsidRPr="00450C02">
        <w:t xml:space="preserve"> </w:t>
      </w:r>
    </w:p>
    <w:p w14:paraId="240E1840" w14:textId="70068509" w:rsidR="00DB45C3" w:rsidRPr="00DB45C3" w:rsidRDefault="00DB45C3" w:rsidP="00DB45C3"/>
    <w:sectPr w:rsidR="00DB45C3" w:rsidRPr="00DB45C3" w:rsidSect="00882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2e5zfwbdz9rmed09qxspr9drvdftwxdxz5&quot;&gt;My EndNote Library&lt;record-ids&gt;&lt;item&gt;19&lt;/item&gt;&lt;item&gt;294&lt;/item&gt;&lt;item&gt;394&lt;/item&gt;&lt;item&gt;473&lt;/item&gt;&lt;item&gt;541&lt;/item&gt;&lt;item&gt;556&lt;/item&gt;&lt;item&gt;584&lt;/item&gt;&lt;item&gt;838&lt;/item&gt;&lt;/record-ids&gt;&lt;/item&gt;&lt;/Libraries&gt;"/>
  </w:docVars>
  <w:rsids>
    <w:rsidRoot w:val="00850183"/>
    <w:rsid w:val="001604E3"/>
    <w:rsid w:val="00186035"/>
    <w:rsid w:val="00206B7A"/>
    <w:rsid w:val="00325924"/>
    <w:rsid w:val="0032634D"/>
    <w:rsid w:val="00450C02"/>
    <w:rsid w:val="00460736"/>
    <w:rsid w:val="00467E1E"/>
    <w:rsid w:val="004A208B"/>
    <w:rsid w:val="004B6F5F"/>
    <w:rsid w:val="004D4B71"/>
    <w:rsid w:val="004D6023"/>
    <w:rsid w:val="004E59F3"/>
    <w:rsid w:val="004F518E"/>
    <w:rsid w:val="005140D1"/>
    <w:rsid w:val="005E6955"/>
    <w:rsid w:val="00604355"/>
    <w:rsid w:val="00635143"/>
    <w:rsid w:val="00645252"/>
    <w:rsid w:val="006951C0"/>
    <w:rsid w:val="006C1984"/>
    <w:rsid w:val="006D3D74"/>
    <w:rsid w:val="0077056E"/>
    <w:rsid w:val="007D51B8"/>
    <w:rsid w:val="00836BDD"/>
    <w:rsid w:val="008419AE"/>
    <w:rsid w:val="00841DFF"/>
    <w:rsid w:val="00843983"/>
    <w:rsid w:val="00850183"/>
    <w:rsid w:val="0085290A"/>
    <w:rsid w:val="00882F5F"/>
    <w:rsid w:val="008E3B98"/>
    <w:rsid w:val="00924E67"/>
    <w:rsid w:val="00930E25"/>
    <w:rsid w:val="00954590"/>
    <w:rsid w:val="00982638"/>
    <w:rsid w:val="009F0322"/>
    <w:rsid w:val="009F0BA7"/>
    <w:rsid w:val="009F6F38"/>
    <w:rsid w:val="00A327C4"/>
    <w:rsid w:val="00A9204E"/>
    <w:rsid w:val="00AA5AF9"/>
    <w:rsid w:val="00AC45E1"/>
    <w:rsid w:val="00B30953"/>
    <w:rsid w:val="00B37291"/>
    <w:rsid w:val="00BC5457"/>
    <w:rsid w:val="00C0476E"/>
    <w:rsid w:val="00C23E9A"/>
    <w:rsid w:val="00CB4CB7"/>
    <w:rsid w:val="00CF46CF"/>
    <w:rsid w:val="00D661F2"/>
    <w:rsid w:val="00D9110B"/>
    <w:rsid w:val="00DB156D"/>
    <w:rsid w:val="00DB3625"/>
    <w:rsid w:val="00DB45C3"/>
    <w:rsid w:val="00DC1350"/>
    <w:rsid w:val="00DF1397"/>
    <w:rsid w:val="00E0274A"/>
    <w:rsid w:val="00E62EC5"/>
    <w:rsid w:val="00E770C1"/>
    <w:rsid w:val="00E95595"/>
    <w:rsid w:val="00EB1F01"/>
    <w:rsid w:val="00EE27D9"/>
    <w:rsid w:val="00EF417A"/>
    <w:rsid w:val="00F319F5"/>
    <w:rsid w:val="00F767AF"/>
    <w:rsid w:val="00FC3F60"/>
    <w:rsid w:val="00FF04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A96E"/>
  <w15:chartTrackingRefBased/>
  <w15:docId w15:val="{7C6F956B-E10D-41DB-9343-CD7C7F95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customStyle="1" w:styleId="Abstract">
    <w:name w:val="Abstract"/>
    <w:basedOn w:val="Normal"/>
    <w:next w:val="Normal"/>
    <w:qFormat/>
    <w:rsid w:val="00850183"/>
    <w:pPr>
      <w:ind w:left="1080" w:right="1080"/>
      <w:jc w:val="both"/>
    </w:pPr>
    <w:rPr>
      <w:rFonts w:ascii="Times New Roman" w:eastAsia="Times New Roman" w:hAnsi="Times New Roman" w:cs="Times New Roman"/>
      <w:sz w:val="20"/>
      <w:szCs w:val="24"/>
      <w:lang w:eastAsia="en-GB"/>
    </w:rPr>
  </w:style>
  <w:style w:type="paragraph" w:styleId="NormalWeb">
    <w:name w:val="Normal (Web)"/>
    <w:basedOn w:val="Normal"/>
    <w:uiPriority w:val="99"/>
    <w:unhideWhenUsed/>
    <w:rsid w:val="00850183"/>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rsid w:val="00850183"/>
    <w:pPr>
      <w:ind w:firstLine="360"/>
      <w:jc w:val="both"/>
    </w:pPr>
    <w:rPr>
      <w:rFonts w:ascii="Times New Roman" w:eastAsia="Times New Roman" w:hAnsi="Times New Roman" w:cs="Times New Roman"/>
      <w:sz w:val="20"/>
      <w:szCs w:val="24"/>
      <w:lang w:eastAsia="en-GB"/>
    </w:rPr>
  </w:style>
  <w:style w:type="character" w:customStyle="1" w:styleId="BodyTextChar">
    <w:name w:val="Body Text Char"/>
    <w:basedOn w:val="DefaultParagraphFont"/>
    <w:link w:val="BodyText"/>
    <w:rsid w:val="00850183"/>
    <w:rPr>
      <w:rFonts w:ascii="Times New Roman" w:eastAsia="Times New Roman" w:hAnsi="Times New Roman" w:cs="Times New Roman"/>
      <w:sz w:val="20"/>
      <w:szCs w:val="24"/>
      <w:lang w:eastAsia="en-GB"/>
    </w:rPr>
  </w:style>
  <w:style w:type="character" w:customStyle="1" w:styleId="apple-tab-span">
    <w:name w:val="apple-tab-span"/>
    <w:basedOn w:val="DefaultParagraphFont"/>
    <w:rsid w:val="00850183"/>
  </w:style>
  <w:style w:type="character" w:customStyle="1" w:styleId="apple-converted-space">
    <w:name w:val="apple-converted-space"/>
    <w:basedOn w:val="DefaultParagraphFont"/>
    <w:rsid w:val="004E59F3"/>
  </w:style>
  <w:style w:type="paragraph" w:styleId="Bibliography">
    <w:name w:val="Bibliography"/>
    <w:basedOn w:val="Normal"/>
    <w:next w:val="Normal"/>
    <w:uiPriority w:val="70"/>
    <w:rsid w:val="00C23E9A"/>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EndNoteBibliographyTitle">
    <w:name w:val="EndNote Bibliography Title"/>
    <w:basedOn w:val="Normal"/>
    <w:link w:val="EndNoteBibliographyTitleChar"/>
    <w:rsid w:val="00DB45C3"/>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DB45C3"/>
    <w:rPr>
      <w:rFonts w:ascii="Times New Roman" w:hAnsi="Times New Roman" w:cs="Times New Roman"/>
      <w:noProof/>
    </w:rPr>
  </w:style>
  <w:style w:type="paragraph" w:customStyle="1" w:styleId="EndNoteBibliography">
    <w:name w:val="EndNote Bibliography"/>
    <w:basedOn w:val="Normal"/>
    <w:link w:val="EndNoteBibliographyChar"/>
    <w:rsid w:val="00DB45C3"/>
    <w:rPr>
      <w:rFonts w:ascii="Times New Roman" w:hAnsi="Times New Roman" w:cs="Times New Roman"/>
      <w:noProof/>
    </w:rPr>
  </w:style>
  <w:style w:type="character" w:customStyle="1" w:styleId="EndNoteBibliographyChar">
    <w:name w:val="EndNote Bibliography Char"/>
    <w:basedOn w:val="DefaultParagraphFont"/>
    <w:link w:val="EndNoteBibliography"/>
    <w:rsid w:val="00DB45C3"/>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Khanade, Kunal Rajeshwar</dc:creator>
  <cp:keywords/>
  <dc:description/>
  <cp:lastModifiedBy>Son Changwon</cp:lastModifiedBy>
  <cp:revision>2</cp:revision>
  <dcterms:created xsi:type="dcterms:W3CDTF">2020-08-12T15:37:00Z</dcterms:created>
  <dcterms:modified xsi:type="dcterms:W3CDTF">2020-08-12T15:37:00Z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